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7C75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B1B723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1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26FABEC5">
            <w:pPr>
              <w:tabs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{naziv}</w:t>
            </w:r>
          </w:p>
        </w:tc>
      </w:tr>
      <w:tr w14:paraId="7467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BB324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5D840E7A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2E2C4BDE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0B76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F0B34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621BC1BA">
            <w:pPr>
              <w:tabs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5DE3E937">
            <w:pPr>
              <w:tabs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{email}</w:t>
            </w:r>
          </w:p>
        </w:tc>
      </w:tr>
      <w:tr w14:paraId="4BE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7643CD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0B80168C">
            <w:pPr>
              <w:tabs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sz w:val="16"/>
                <w:szCs w:val="16"/>
                <w:lang w:val="en-US"/>
              </w:rPr>
              <w:t>}</w:t>
            </w:r>
          </w:p>
        </w:tc>
      </w:tr>
      <w:tr w14:paraId="5BD3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B6029BA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332DAF45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AA9B6B7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685F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C70D96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7051EB2F">
            <w:pPr>
              <w:tabs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11B859F2">
            <w:pPr>
              <w:tabs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{emailKoordinator}</w:t>
            </w:r>
          </w:p>
        </w:tc>
      </w:tr>
      <w:tr w14:paraId="3D5A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C1C1D54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4D9DE4AD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{nace}</w:t>
            </w:r>
          </w:p>
        </w:tc>
      </w:tr>
      <w:tr w14:paraId="4918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5F05A8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00CCBA6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{dogovorBr}</w:t>
            </w:r>
          </w:p>
        </w:tc>
      </w:tr>
      <w:tr w14:paraId="4D2A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454801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78C232F7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{dejnostOpseg}</w:t>
            </w:r>
          </w:p>
        </w:tc>
      </w:tr>
      <w:tr w14:paraId="7C99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259E7C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2E1E79C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62331DD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5E0B8FD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{vodeckiProveruvac}</w:t>
            </w:r>
          </w:p>
        </w:tc>
      </w:tr>
      <w:tr w14:paraId="70B4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61C42A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25366F77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345EFDC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3B3B659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 w:val="0"/>
                <w:bCs w:val="0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{proveruvaci}</w:t>
            </w:r>
          </w:p>
        </w:tc>
      </w:tr>
      <w:bookmarkEnd w:id="1"/>
    </w:tbl>
    <w:p w14:paraId="53C15660"/>
    <w:tbl>
      <w:tblPr>
        <w:tblStyle w:val="12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5"/>
      </w:tblGrid>
      <w:tr w14:paraId="7E31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6E557AAD">
            <w:pPr>
              <w:jc w:val="center"/>
            </w:pPr>
            <w:r>
              <w:t>Барање од стандардот</w:t>
            </w:r>
          </w:p>
        </w:tc>
        <w:tc>
          <w:tcPr>
            <w:tcW w:w="8505" w:type="dxa"/>
            <w:shd w:val="clear" w:color="auto" w:fill="D8D8D8" w:themeFill="background1" w:themeFillShade="D9"/>
            <w:vAlign w:val="center"/>
          </w:tcPr>
          <w:p w14:paraId="60502892">
            <w:pPr>
              <w:jc w:val="center"/>
            </w:pPr>
            <w:r>
              <w:t>Прашање</w:t>
            </w:r>
          </w:p>
        </w:tc>
      </w:tr>
      <w:tr w14:paraId="4C0D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2F4A2F85">
            <w:pPr>
              <w:pStyle w:val="2"/>
            </w:pPr>
            <w:bookmarkStart w:id="0" w:name="_Toc159240766"/>
            <w:r>
              <w:t>Општо</w:t>
            </w:r>
            <w:bookmarkEnd w:id="0"/>
          </w:p>
        </w:tc>
      </w:tr>
      <w:tr w14:paraId="0745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451A01"/>
        </w:tc>
        <w:tc>
          <w:tcPr>
            <w:tcW w:w="8505" w:type="dxa"/>
          </w:tcPr>
          <w:p w14:paraId="5A6EF4FB">
            <w:r>
              <w:t>Измени во организацијата:</w:t>
            </w:r>
          </w:p>
          <w:p w14:paraId="30033CEE">
            <w:pPr>
              <w:rPr>
                <w:lang w:val="en-US"/>
              </w:rPr>
            </w:pPr>
          </w:p>
        </w:tc>
      </w:tr>
      <w:tr w14:paraId="0A38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C524C3A"/>
        </w:tc>
        <w:tc>
          <w:tcPr>
            <w:tcW w:w="8505" w:type="dxa"/>
          </w:tcPr>
          <w:p w14:paraId="749E80B3">
            <w:r>
              <w:t>Обем на работење:</w:t>
            </w:r>
          </w:p>
          <w:p w14:paraId="0C433AEB">
            <w:pPr>
              <w:rPr>
                <w:lang w:val="en-US"/>
              </w:rPr>
            </w:pPr>
          </w:p>
        </w:tc>
      </w:tr>
      <w:tr w14:paraId="687C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448975E2">
            <w:pPr>
              <w:pStyle w:val="2"/>
            </w:pPr>
            <w:r>
              <w:t>Систем за управување со квалитет согласно барањата на стандардот</w:t>
            </w:r>
            <w:r>
              <w:br w:type="textWrapping"/>
            </w:r>
            <w:r>
              <w:t>МКС EN ISO 9001:2015</w:t>
            </w:r>
          </w:p>
        </w:tc>
      </w:tr>
      <w:tr w14:paraId="30F7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DB3DECE"/>
        </w:tc>
        <w:tc>
          <w:tcPr>
            <w:tcW w:w="8505" w:type="dxa"/>
          </w:tcPr>
          <w:p w14:paraId="72CCBE7A">
            <w:pPr>
              <w:rPr>
                <w:lang w:val="en-US"/>
              </w:rPr>
            </w:pPr>
            <w:r>
              <w:t>Контекст на организацијата</w:t>
            </w:r>
            <w:r>
              <w:rPr>
                <w:lang w:val="en-US"/>
              </w:rPr>
              <w:t>:</w:t>
            </w:r>
          </w:p>
          <w:p w14:paraId="187739F6">
            <w:pPr>
              <w:rPr>
                <w:lang w:val="en-US"/>
              </w:rPr>
            </w:pPr>
          </w:p>
        </w:tc>
      </w:tr>
      <w:tr w14:paraId="5437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14BFE18"/>
        </w:tc>
        <w:tc>
          <w:tcPr>
            <w:tcW w:w="8505" w:type="dxa"/>
          </w:tcPr>
          <w:p w14:paraId="25131500">
            <w:pPr>
              <w:rPr>
                <w:lang w:val="en-US"/>
              </w:rPr>
            </w:pPr>
            <w:r>
              <w:t>Лидерство и посветеност на раководството</w:t>
            </w:r>
            <w:r>
              <w:rPr>
                <w:lang w:val="en-US"/>
              </w:rPr>
              <w:t>:</w:t>
            </w:r>
          </w:p>
          <w:p w14:paraId="6B5FC5E5"/>
        </w:tc>
      </w:tr>
      <w:tr w14:paraId="3565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9F14447"/>
        </w:tc>
        <w:tc>
          <w:tcPr>
            <w:tcW w:w="8505" w:type="dxa"/>
          </w:tcPr>
          <w:p w14:paraId="32205795">
            <w:pPr>
              <w:rPr>
                <w:lang w:val="sl-SI"/>
              </w:rPr>
            </w:pPr>
            <w:r>
              <w:rPr>
                <w:lang w:val="sl-SI"/>
              </w:rPr>
              <w:t>Политика на системот за управување:</w:t>
            </w:r>
          </w:p>
          <w:p w14:paraId="27D51A7B"/>
        </w:tc>
      </w:tr>
      <w:tr w14:paraId="1916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1760CF0"/>
        </w:tc>
        <w:tc>
          <w:tcPr>
            <w:tcW w:w="8505" w:type="dxa"/>
          </w:tcPr>
          <w:p w14:paraId="54C23E34">
            <w:r>
              <w:t>Организациони улоги, одговорности и овластувања (Одлука за Тим за управување и координатор, лиценци и овластувања):</w:t>
            </w:r>
          </w:p>
          <w:p w14:paraId="48DB1DE4"/>
        </w:tc>
      </w:tr>
      <w:tr w14:paraId="3813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BD7F1E0"/>
        </w:tc>
        <w:tc>
          <w:tcPr>
            <w:tcW w:w="8505" w:type="dxa"/>
          </w:tcPr>
          <w:p w14:paraId="3A68612A">
            <w:pPr>
              <w:rPr>
                <w:lang w:val="en-US"/>
              </w:rPr>
            </w:pPr>
            <w:r>
              <w:t>Мерки за справување со ризици и можности</w:t>
            </w:r>
            <w:r>
              <w:rPr>
                <w:lang w:val="en-US"/>
              </w:rPr>
              <w:t>:</w:t>
            </w:r>
          </w:p>
          <w:p w14:paraId="0666FD63"/>
        </w:tc>
      </w:tr>
      <w:tr w14:paraId="6AB8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BFD210F"/>
        </w:tc>
        <w:tc>
          <w:tcPr>
            <w:tcW w:w="8505" w:type="dxa"/>
          </w:tcPr>
          <w:p w14:paraId="43C07045">
            <w:r>
              <w:rPr>
                <w:lang w:val="sl-SI"/>
              </w:rPr>
              <w:t>Цели во врска со процесите</w:t>
            </w:r>
            <w:r>
              <w:t>:</w:t>
            </w:r>
          </w:p>
          <w:p w14:paraId="18EA2C78"/>
        </w:tc>
      </w:tr>
      <w:tr w14:paraId="4FFF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CBF19DB"/>
        </w:tc>
        <w:tc>
          <w:tcPr>
            <w:tcW w:w="8505" w:type="dxa"/>
          </w:tcPr>
          <w:p w14:paraId="36D31C75">
            <w:r>
              <w:t>Ресурси – луѓе и инфраструктура (опрема, возен парк, техничка исправност на машини и возила):</w:t>
            </w:r>
          </w:p>
          <w:p w14:paraId="2A4FBC81"/>
        </w:tc>
      </w:tr>
      <w:tr w14:paraId="56B6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EDACC9"/>
        </w:tc>
        <w:tc>
          <w:tcPr>
            <w:tcW w:w="8505" w:type="dxa"/>
          </w:tcPr>
          <w:p w14:paraId="5235A931">
            <w:pPr>
              <w:rPr>
                <w:lang w:val="en-US"/>
              </w:rPr>
            </w:pPr>
            <w:r>
              <w:t>Ресурси за следење и мерење - калибрација</w:t>
            </w:r>
            <w:r>
              <w:rPr>
                <w:lang w:val="en-US"/>
              </w:rPr>
              <w:t>:</w:t>
            </w:r>
          </w:p>
          <w:p w14:paraId="0BA04A22"/>
          <w:p w14:paraId="110A644D"/>
        </w:tc>
      </w:tr>
      <w:tr w14:paraId="2909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D8D96A4"/>
        </w:tc>
        <w:tc>
          <w:tcPr>
            <w:tcW w:w="8505" w:type="dxa"/>
          </w:tcPr>
          <w:p w14:paraId="5BD8D8FC">
            <w:r>
              <w:t>Организациското знаење:</w:t>
            </w:r>
          </w:p>
        </w:tc>
      </w:tr>
      <w:tr w14:paraId="1A2D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F884DC3"/>
        </w:tc>
        <w:tc>
          <w:tcPr>
            <w:tcW w:w="8505" w:type="dxa"/>
          </w:tcPr>
          <w:p w14:paraId="03EB9CA2">
            <w:r>
              <w:t>Компентентност, оспособување и посветеност на вработените:</w:t>
            </w:r>
          </w:p>
          <w:p w14:paraId="1B1BF25B"/>
        </w:tc>
      </w:tr>
      <w:tr w14:paraId="77DB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393E5F"/>
        </w:tc>
        <w:tc>
          <w:tcPr>
            <w:tcW w:w="8505" w:type="dxa"/>
          </w:tcPr>
          <w:p w14:paraId="45F5DC51">
            <w:pPr>
              <w:rPr>
                <w:lang w:val="en-US"/>
              </w:rPr>
            </w:pPr>
            <w:r>
              <w:t>Свест</w:t>
            </w:r>
            <w:r>
              <w:rPr>
                <w:lang w:val="en-US"/>
              </w:rPr>
              <w:t>:</w:t>
            </w:r>
          </w:p>
          <w:p w14:paraId="761AA93C"/>
        </w:tc>
      </w:tr>
      <w:tr w14:paraId="4A7B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EDC779B"/>
        </w:tc>
        <w:tc>
          <w:tcPr>
            <w:tcW w:w="8505" w:type="dxa"/>
          </w:tcPr>
          <w:p w14:paraId="1686AE5A">
            <w:r>
              <w:t>Комуникација (надворешна со заинтересирани страни и внатрешна комуникација):</w:t>
            </w:r>
          </w:p>
          <w:p w14:paraId="7AE551B1"/>
        </w:tc>
      </w:tr>
      <w:tr w14:paraId="3C06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17ED145"/>
        </w:tc>
        <w:tc>
          <w:tcPr>
            <w:tcW w:w="8505" w:type="dxa"/>
          </w:tcPr>
          <w:p w14:paraId="4CB5FA16">
            <w:pPr>
              <w:rPr>
                <w:lang w:val="en-US"/>
              </w:rPr>
            </w:pPr>
            <w:r>
              <w:t>Владеење со документирани информации (идентификација, ажурирање,  дистрибуција, пристап, управување со измени, архивирање)</w:t>
            </w:r>
            <w:r>
              <w:rPr>
                <w:lang w:val="en-US"/>
              </w:rPr>
              <w:t>:</w:t>
            </w:r>
          </w:p>
          <w:p w14:paraId="192F0602"/>
        </w:tc>
      </w:tr>
      <w:tr w14:paraId="7466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367B265"/>
        </w:tc>
        <w:tc>
          <w:tcPr>
            <w:tcW w:w="8505" w:type="dxa"/>
          </w:tcPr>
          <w:p w14:paraId="27C12BB1">
            <w:pPr>
              <w:rPr>
                <w:lang w:val="en-US"/>
              </w:rPr>
            </w:pPr>
            <w:r>
              <w:t>Барања за производи и услуги</w:t>
            </w:r>
            <w:r>
              <w:rPr>
                <w:lang w:val="en-US"/>
              </w:rPr>
              <w:t>:</w:t>
            </w:r>
          </w:p>
          <w:p w14:paraId="4C33A5A2"/>
        </w:tc>
      </w:tr>
      <w:tr w14:paraId="667E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87E6B0F"/>
        </w:tc>
        <w:tc>
          <w:tcPr>
            <w:tcW w:w="8505" w:type="dxa"/>
          </w:tcPr>
          <w:p w14:paraId="656345B0">
            <w:r>
              <w:t>Проектирање и развој на производи и услуги:</w:t>
            </w:r>
          </w:p>
          <w:p w14:paraId="54DE12A9"/>
        </w:tc>
      </w:tr>
      <w:tr w14:paraId="0236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D9EAFF"/>
        </w:tc>
        <w:tc>
          <w:tcPr>
            <w:tcW w:w="8505" w:type="dxa"/>
          </w:tcPr>
          <w:p w14:paraId="291F69D8">
            <w:pPr>
              <w:rPr>
                <w:lang w:val="en-US"/>
              </w:rPr>
            </w:pPr>
            <w:r>
              <w:t>Добавувачи и подизведувачи (управување со процес на јавни набавки)</w:t>
            </w:r>
            <w:r>
              <w:rPr>
                <w:lang w:val="en-US"/>
              </w:rPr>
              <w:t>:</w:t>
            </w:r>
          </w:p>
          <w:p w14:paraId="0A192895"/>
        </w:tc>
      </w:tr>
      <w:tr w14:paraId="7A7D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C61EC04"/>
        </w:tc>
        <w:tc>
          <w:tcPr>
            <w:tcW w:w="8505" w:type="dxa"/>
          </w:tcPr>
          <w:p w14:paraId="3CA06328">
            <w:pPr>
              <w:rPr>
                <w:lang w:val="en-US"/>
              </w:rPr>
            </w:pPr>
            <w:r>
              <w:t>Производство и услуги- Управување со производство и обезбедување на услуги</w:t>
            </w:r>
            <w:r>
              <w:rPr>
                <w:lang w:val="en-US"/>
              </w:rPr>
              <w:t>:</w:t>
            </w:r>
          </w:p>
          <w:p w14:paraId="53A84C24"/>
        </w:tc>
      </w:tr>
      <w:tr w14:paraId="49F9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391618B"/>
        </w:tc>
        <w:tc>
          <w:tcPr>
            <w:tcW w:w="8505" w:type="dxa"/>
          </w:tcPr>
          <w:p w14:paraId="54803472">
            <w:r>
              <w:t>Неусогласен производ, рекламации, жалби , приговори и поплаки:</w:t>
            </w:r>
          </w:p>
          <w:p w14:paraId="0B57FFB8"/>
        </w:tc>
      </w:tr>
      <w:tr w14:paraId="608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679D66D"/>
        </w:tc>
        <w:tc>
          <w:tcPr>
            <w:tcW w:w="8505" w:type="dxa"/>
          </w:tcPr>
          <w:p w14:paraId="1D7AC6AF">
            <w:r>
              <w:t>Следење, мерење, анализа и вреднување, з</w:t>
            </w:r>
            <w:r>
              <w:rPr>
                <w:lang w:val="sl-SI"/>
              </w:rPr>
              <w:t>адоволство на к</w:t>
            </w:r>
            <w:r>
              <w:t>орисници:</w:t>
            </w:r>
          </w:p>
          <w:p w14:paraId="6B240928"/>
        </w:tc>
      </w:tr>
      <w:tr w14:paraId="4A65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B0E26B9"/>
        </w:tc>
        <w:tc>
          <w:tcPr>
            <w:tcW w:w="8505" w:type="dxa"/>
          </w:tcPr>
          <w:p w14:paraId="775F1D5B">
            <w:r>
              <w:t>Инспекциски надзор и посети:</w:t>
            </w:r>
          </w:p>
          <w:p w14:paraId="48F06BD6"/>
        </w:tc>
      </w:tr>
      <w:tr w14:paraId="4571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05C3C51"/>
        </w:tc>
        <w:tc>
          <w:tcPr>
            <w:tcW w:w="8505" w:type="dxa"/>
          </w:tcPr>
          <w:p w14:paraId="225FC43C">
            <w:r>
              <w:rPr>
                <w:lang w:val="sl-SI"/>
              </w:rPr>
              <w:t xml:space="preserve">Интерна проверка </w:t>
            </w:r>
            <w:r>
              <w:t>/ компетентен интерен проверувач:</w:t>
            </w:r>
          </w:p>
          <w:p w14:paraId="6D8293EA"/>
        </w:tc>
      </w:tr>
      <w:tr w14:paraId="3977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A0FF4A"/>
        </w:tc>
        <w:tc>
          <w:tcPr>
            <w:tcW w:w="8505" w:type="dxa"/>
          </w:tcPr>
          <w:p w14:paraId="73C48722">
            <w:r>
              <w:rPr>
                <w:lang w:val="sl-SI"/>
              </w:rPr>
              <w:t>Корективни мерки</w:t>
            </w:r>
            <w:r>
              <w:t>:</w:t>
            </w:r>
          </w:p>
          <w:p w14:paraId="2F6E6724">
            <w:pPr>
              <w:rPr>
                <w:lang w:val="sl-SI"/>
              </w:rPr>
            </w:pPr>
          </w:p>
        </w:tc>
      </w:tr>
      <w:tr w14:paraId="6466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AB0B470"/>
        </w:tc>
        <w:tc>
          <w:tcPr>
            <w:tcW w:w="8505" w:type="dxa"/>
          </w:tcPr>
          <w:p w14:paraId="36C7D8FD">
            <w:r>
              <w:rPr>
                <w:lang w:val="sl-SI"/>
              </w:rPr>
              <w:t>Преглед на раководство</w:t>
            </w:r>
            <w:r>
              <w:t>:</w:t>
            </w:r>
          </w:p>
          <w:p w14:paraId="18072014">
            <w:pPr>
              <w:rPr>
                <w:lang w:val="sl-SI"/>
              </w:rPr>
            </w:pPr>
          </w:p>
        </w:tc>
      </w:tr>
      <w:tr w14:paraId="3AD1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583ED69"/>
        </w:tc>
        <w:tc>
          <w:tcPr>
            <w:tcW w:w="8505" w:type="dxa"/>
          </w:tcPr>
          <w:p w14:paraId="6769A6F3">
            <w:r>
              <w:rPr>
                <w:lang w:val="sl-SI"/>
              </w:rPr>
              <w:t>Постојано подобрување</w:t>
            </w:r>
            <w:r>
              <w:t>:</w:t>
            </w:r>
          </w:p>
          <w:p w14:paraId="31378AB8">
            <w:pPr>
              <w:rPr>
                <w:lang w:val="sl-SI"/>
              </w:rPr>
            </w:pPr>
          </w:p>
        </w:tc>
      </w:tr>
      <w:tr w14:paraId="35A0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086DD7"/>
        </w:tc>
        <w:tc>
          <w:tcPr>
            <w:tcW w:w="8505" w:type="dxa"/>
          </w:tcPr>
          <w:p w14:paraId="117F5D20">
            <w:r>
              <w:t>ЗАБЕЛЕШКИ:</w:t>
            </w:r>
          </w:p>
          <w:p w14:paraId="156A99F0"/>
        </w:tc>
      </w:tr>
    </w:tbl>
    <w:p w14:paraId="64848A19"/>
    <w:p w14:paraId="6DFA2404">
      <w:pPr>
        <w:rPr>
          <w:i/>
        </w:rPr>
      </w:pPr>
      <w:r>
        <w:rPr>
          <w:i/>
        </w:rPr>
        <w:t>Ознаки</w:t>
      </w:r>
      <w:r>
        <w:rPr>
          <w:i/>
          <w:lang w:val="en-US"/>
        </w:rPr>
        <w:t xml:space="preserve">:  </w:t>
      </w:r>
      <w:r>
        <w:t>ГН – голема неусогласеност, МН – мала неусогласеност, О – опсервација</w:t>
      </w:r>
    </w:p>
    <w:p w14:paraId="76B00AEB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33ED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4927C873">
            <w:r>
              <w:t>Скопје, датум:</w:t>
            </w:r>
          </w:p>
        </w:tc>
        <w:tc>
          <w:tcPr>
            <w:tcW w:w="3304" w:type="dxa"/>
          </w:tcPr>
          <w:p w14:paraId="1641C569"/>
        </w:tc>
        <w:tc>
          <w:tcPr>
            <w:tcW w:w="3304" w:type="dxa"/>
            <w:tcBorders>
              <w:bottom w:val="single" w:color="auto" w:sz="4" w:space="0"/>
            </w:tcBorders>
          </w:tcPr>
          <w:p w14:paraId="743F1A9E"/>
        </w:tc>
      </w:tr>
      <w:tr w14:paraId="311F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9D3F4DA"/>
        </w:tc>
        <w:tc>
          <w:tcPr>
            <w:tcW w:w="3304" w:type="dxa"/>
          </w:tcPr>
          <w:p w14:paraId="43650CF0"/>
        </w:tc>
        <w:tc>
          <w:tcPr>
            <w:tcW w:w="3304" w:type="dxa"/>
            <w:tcBorders>
              <w:top w:val="single" w:color="auto" w:sz="4" w:space="0"/>
            </w:tcBorders>
          </w:tcPr>
          <w:p w14:paraId="16AE2071">
            <w:r>
              <w:t>Проверувач</w:t>
            </w:r>
          </w:p>
        </w:tc>
      </w:tr>
    </w:tbl>
    <w:p w14:paraId="6A462A54">
      <w:pPr>
        <w:rPr>
          <w:lang w:val="en-US"/>
        </w:rPr>
      </w:pPr>
    </w:p>
    <w:p w14:paraId="72D2B7F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12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5"/>
      </w:tblGrid>
      <w:tr w14:paraId="6498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3F7171FD">
            <w:pPr>
              <w:jc w:val="center"/>
            </w:pPr>
            <w:r>
              <w:t>Барање од стандардот</w:t>
            </w:r>
          </w:p>
        </w:tc>
        <w:tc>
          <w:tcPr>
            <w:tcW w:w="8505" w:type="dxa"/>
            <w:shd w:val="clear" w:color="auto" w:fill="D8D8D8" w:themeFill="background1" w:themeFillShade="D9"/>
            <w:vAlign w:val="center"/>
          </w:tcPr>
          <w:p w14:paraId="7E2ECDC0">
            <w:pPr>
              <w:jc w:val="center"/>
            </w:pPr>
            <w:r>
              <w:t>Прашање</w:t>
            </w:r>
          </w:p>
        </w:tc>
      </w:tr>
      <w:tr w14:paraId="6A86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4DB8F806">
            <w:pPr>
              <w:pStyle w:val="2"/>
            </w:pPr>
            <w:r>
              <w:rPr>
                <w:lang w:val="sl-SI"/>
              </w:rPr>
              <w:t xml:space="preserve">Систем за управување со </w:t>
            </w:r>
            <w:r>
              <w:t>животна средина согласно барањата на стандардот</w:t>
            </w:r>
          </w:p>
          <w:p w14:paraId="3CF3A826">
            <w:pPr>
              <w:pStyle w:val="2"/>
            </w:pPr>
            <w:r>
              <w:t xml:space="preserve"> МКС </w:t>
            </w:r>
            <w:r>
              <w:rPr>
                <w:lang w:val="en-US"/>
              </w:rPr>
              <w:t xml:space="preserve">EN </w:t>
            </w:r>
            <w:r>
              <w:rPr>
                <w:lang w:val="sl-SI"/>
              </w:rPr>
              <w:t xml:space="preserve">ISO </w:t>
            </w:r>
            <w:r>
              <w:rPr>
                <w:lang w:val="en-US"/>
              </w:rPr>
              <w:t>14</w:t>
            </w:r>
            <w:r>
              <w:rPr>
                <w:lang w:val="sl-SI"/>
              </w:rPr>
              <w:t>001:201</w:t>
            </w:r>
            <w:r>
              <w:rPr>
                <w:lang w:val="en-US"/>
              </w:rPr>
              <w:t>5</w:t>
            </w:r>
          </w:p>
        </w:tc>
      </w:tr>
      <w:tr w14:paraId="1C8C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5F52878"/>
        </w:tc>
        <w:tc>
          <w:tcPr>
            <w:tcW w:w="8505" w:type="dxa"/>
          </w:tcPr>
          <w:p w14:paraId="691E62E6">
            <w:r>
              <w:t>Контекст на организацијата:</w:t>
            </w:r>
          </w:p>
          <w:p w14:paraId="4DC5138E">
            <w:pPr>
              <w:rPr>
                <w:lang w:val="en-US"/>
              </w:rPr>
            </w:pPr>
          </w:p>
        </w:tc>
      </w:tr>
      <w:tr w14:paraId="0C01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2BCA119"/>
        </w:tc>
        <w:tc>
          <w:tcPr>
            <w:tcW w:w="8505" w:type="dxa"/>
          </w:tcPr>
          <w:p w14:paraId="380EBCF0">
            <w:pPr>
              <w:rPr>
                <w:lang w:val="en-US"/>
              </w:rPr>
            </w:pPr>
            <w:r>
              <w:t>Потреби и очекувања на заинтересираните страни</w:t>
            </w:r>
            <w:r>
              <w:rPr>
                <w:lang w:val="en-US"/>
              </w:rPr>
              <w:t>:</w:t>
            </w:r>
          </w:p>
          <w:p w14:paraId="397D03A4">
            <w:pPr>
              <w:rPr>
                <w:lang w:val="en-US"/>
              </w:rPr>
            </w:pPr>
          </w:p>
        </w:tc>
      </w:tr>
      <w:tr w14:paraId="1859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092BA31"/>
        </w:tc>
        <w:tc>
          <w:tcPr>
            <w:tcW w:w="8505" w:type="dxa"/>
          </w:tcPr>
          <w:p w14:paraId="49B47FDE">
            <w:pPr>
              <w:rPr>
                <w:lang w:val="en-US"/>
              </w:rPr>
            </w:pPr>
            <w:r>
              <w:t>Организациони улоги, одговорности и овластувања (Одлука за Тим за управување и координатор)</w:t>
            </w:r>
            <w:r>
              <w:rPr>
                <w:lang w:val="en-US"/>
              </w:rPr>
              <w:t>:</w:t>
            </w:r>
          </w:p>
          <w:p w14:paraId="37FDA2BF">
            <w:pPr>
              <w:rPr>
                <w:lang w:val="en-US"/>
              </w:rPr>
            </w:pPr>
          </w:p>
        </w:tc>
      </w:tr>
      <w:tr w14:paraId="0725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ADAAC14"/>
        </w:tc>
        <w:tc>
          <w:tcPr>
            <w:tcW w:w="8505" w:type="dxa"/>
          </w:tcPr>
          <w:p w14:paraId="264457FB">
            <w:pPr>
              <w:rPr>
                <w:lang w:val="en-US"/>
              </w:rPr>
            </w:pPr>
            <w:r>
              <w:t>Аспекти на животна средина</w:t>
            </w:r>
            <w:r>
              <w:rPr>
                <w:lang w:val="en-US"/>
              </w:rPr>
              <w:t>:</w:t>
            </w:r>
          </w:p>
          <w:p w14:paraId="3208655E">
            <w:pPr>
              <w:rPr>
                <w:lang w:val="en-US"/>
              </w:rPr>
            </w:pPr>
          </w:p>
        </w:tc>
      </w:tr>
      <w:tr w14:paraId="535A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068D6D8"/>
        </w:tc>
        <w:tc>
          <w:tcPr>
            <w:tcW w:w="8505" w:type="dxa"/>
          </w:tcPr>
          <w:p w14:paraId="5307E8A7">
            <w:pPr>
              <w:rPr>
                <w:lang w:val="en-US"/>
              </w:rPr>
            </w:pPr>
            <w:r>
              <w:t>Исполнување на законските барања</w:t>
            </w:r>
            <w:r>
              <w:rPr>
                <w:lang w:val="en-US"/>
              </w:rPr>
              <w:t>:</w:t>
            </w:r>
          </w:p>
          <w:p w14:paraId="1106F7BC">
            <w:pPr>
              <w:rPr>
                <w:lang w:val="en-US"/>
              </w:rPr>
            </w:pPr>
          </w:p>
        </w:tc>
      </w:tr>
      <w:tr w14:paraId="0A1C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4F647B5"/>
        </w:tc>
        <w:tc>
          <w:tcPr>
            <w:tcW w:w="8505" w:type="dxa"/>
          </w:tcPr>
          <w:p w14:paraId="768E2DEE">
            <w:pPr>
              <w:rPr>
                <w:lang w:val="en-US"/>
              </w:rPr>
            </w:pPr>
            <w:r>
              <w:t>Цели и програми во врска со животната средина</w:t>
            </w:r>
            <w:r>
              <w:rPr>
                <w:lang w:val="en-US"/>
              </w:rPr>
              <w:t>:</w:t>
            </w:r>
          </w:p>
          <w:p w14:paraId="2729CFFC">
            <w:pPr>
              <w:rPr>
                <w:lang w:val="en-US"/>
              </w:rPr>
            </w:pPr>
          </w:p>
        </w:tc>
      </w:tr>
      <w:tr w14:paraId="3D41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FC54140"/>
        </w:tc>
        <w:tc>
          <w:tcPr>
            <w:tcW w:w="8505" w:type="dxa"/>
          </w:tcPr>
          <w:p w14:paraId="49F27DA3">
            <w:pPr>
              <w:rPr>
                <w:lang w:val="en-US"/>
              </w:rPr>
            </w:pPr>
            <w:r>
              <w:t>Ресурси</w:t>
            </w:r>
            <w:r>
              <w:rPr>
                <w:lang w:val="en-US"/>
              </w:rPr>
              <w:t>:</w:t>
            </w:r>
          </w:p>
          <w:p w14:paraId="4D652B76">
            <w:pPr>
              <w:rPr>
                <w:lang w:val="en-US"/>
              </w:rPr>
            </w:pPr>
          </w:p>
        </w:tc>
      </w:tr>
      <w:tr w14:paraId="4913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29CCB5C"/>
        </w:tc>
        <w:tc>
          <w:tcPr>
            <w:tcW w:w="8505" w:type="dxa"/>
          </w:tcPr>
          <w:p w14:paraId="458D6279">
            <w:pPr>
              <w:rPr>
                <w:lang w:val="en-US"/>
              </w:rPr>
            </w:pPr>
            <w:r>
              <w:t>Компентентност, оспособување и посветеност на вработените</w:t>
            </w:r>
            <w:r>
              <w:rPr>
                <w:lang w:val="en-US"/>
              </w:rPr>
              <w:t>:</w:t>
            </w:r>
          </w:p>
          <w:p w14:paraId="74324F27">
            <w:pPr>
              <w:rPr>
                <w:lang w:val="en-US"/>
              </w:rPr>
            </w:pPr>
          </w:p>
        </w:tc>
      </w:tr>
      <w:tr w14:paraId="6DB5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D40B6EF"/>
        </w:tc>
        <w:tc>
          <w:tcPr>
            <w:tcW w:w="8505" w:type="dxa"/>
          </w:tcPr>
          <w:p w14:paraId="00D72196">
            <w:pPr>
              <w:rPr>
                <w:lang w:val="en-US"/>
              </w:rPr>
            </w:pPr>
            <w:r>
              <w:t>Свест</w:t>
            </w:r>
            <w:r>
              <w:rPr>
                <w:lang w:val="en-US"/>
              </w:rPr>
              <w:t>:</w:t>
            </w:r>
          </w:p>
          <w:p w14:paraId="46B6CBCF">
            <w:pPr>
              <w:rPr>
                <w:lang w:val="en-US"/>
              </w:rPr>
            </w:pPr>
          </w:p>
        </w:tc>
      </w:tr>
      <w:tr w14:paraId="2A2C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B3BC1FB"/>
        </w:tc>
        <w:tc>
          <w:tcPr>
            <w:tcW w:w="8505" w:type="dxa"/>
          </w:tcPr>
          <w:p w14:paraId="49D6961A">
            <w:r>
              <w:t>Комуникација (надворешна со заинтересирани страни и внатрешна комуникација):</w:t>
            </w:r>
          </w:p>
          <w:p w14:paraId="4E8D9F7C">
            <w:pPr>
              <w:rPr>
                <w:lang w:val="en-US"/>
              </w:rPr>
            </w:pPr>
          </w:p>
        </w:tc>
      </w:tr>
      <w:tr w14:paraId="2ED7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9144B7E"/>
        </w:tc>
        <w:tc>
          <w:tcPr>
            <w:tcW w:w="8505" w:type="dxa"/>
          </w:tcPr>
          <w:p w14:paraId="0E637BAC">
            <w:r>
              <w:t>Владеење со документирани информации (идентификација, ажурирање,  дистрибуција, пристап, управување со измени, архивирање):</w:t>
            </w:r>
          </w:p>
          <w:p w14:paraId="1AA108B4">
            <w:pPr>
              <w:rPr>
                <w:lang w:val="en-US"/>
              </w:rPr>
            </w:pPr>
          </w:p>
        </w:tc>
      </w:tr>
      <w:tr w14:paraId="181F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11D2320"/>
        </w:tc>
        <w:tc>
          <w:tcPr>
            <w:tcW w:w="8505" w:type="dxa"/>
          </w:tcPr>
          <w:p w14:paraId="26418113">
            <w:pPr>
              <w:rPr>
                <w:lang w:val="en-US"/>
              </w:rPr>
            </w:pPr>
            <w:r>
              <w:t>Планирање и контрола во работењето (видови на опасен/неопасен отпад, негово означување, евиденција и селекција, договори за превземање на отпад и нивна контрола во однос на набавки и добавувачи, транспорт и животен циклус на производот, Програма за управување со отпад)</w:t>
            </w:r>
            <w:r>
              <w:rPr>
                <w:lang w:val="en-US"/>
              </w:rPr>
              <w:t>:</w:t>
            </w:r>
          </w:p>
          <w:p w14:paraId="25D93055"/>
        </w:tc>
      </w:tr>
      <w:tr w14:paraId="4D39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0E0276A"/>
        </w:tc>
        <w:tc>
          <w:tcPr>
            <w:tcW w:w="8505" w:type="dxa"/>
          </w:tcPr>
          <w:p w14:paraId="3F7C4D3B">
            <w:pPr>
              <w:rPr>
                <w:lang w:val="en-US"/>
              </w:rPr>
            </w:pPr>
            <w:r>
              <w:t>Подготвеност за реагирање и одговор во вонредни ситуации (планови за вонредни состојби, шеми за евакуација, вежби за евакуација, упатства за ракување со ППА, сервисирање на ППА, обуки за ракување со ППА и Прва Помош)</w:t>
            </w:r>
            <w:r>
              <w:rPr>
                <w:lang w:val="en-US"/>
              </w:rPr>
              <w:t>:</w:t>
            </w:r>
          </w:p>
          <w:p w14:paraId="4254E09A">
            <w:pPr>
              <w:rPr>
                <w:lang w:val="en-US"/>
              </w:rPr>
            </w:pPr>
          </w:p>
        </w:tc>
      </w:tr>
      <w:tr w14:paraId="40B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F21CC7E"/>
        </w:tc>
        <w:tc>
          <w:tcPr>
            <w:tcW w:w="8505" w:type="dxa"/>
          </w:tcPr>
          <w:p w14:paraId="07830847">
            <w:pPr>
              <w:rPr>
                <w:lang w:val="en-US"/>
              </w:rPr>
            </w:pPr>
            <w:r>
              <w:t>Инциденти во животна средина</w:t>
            </w:r>
            <w:r>
              <w:rPr>
                <w:lang w:val="en-US"/>
              </w:rPr>
              <w:t>:</w:t>
            </w:r>
          </w:p>
          <w:p w14:paraId="6EAEBDFC">
            <w:pPr>
              <w:rPr>
                <w:lang w:val="en-US"/>
              </w:rPr>
            </w:pPr>
          </w:p>
        </w:tc>
      </w:tr>
      <w:tr w14:paraId="7DDF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A3A6DFA"/>
        </w:tc>
        <w:tc>
          <w:tcPr>
            <w:tcW w:w="8505" w:type="dxa"/>
          </w:tcPr>
          <w:p w14:paraId="50B9EDA1">
            <w:pPr>
              <w:rPr>
                <w:lang w:val="en-US"/>
              </w:rPr>
            </w:pPr>
            <w:r>
              <w:t>Следење, мерење, анализи и вреднување (мерења во животна средина, Елаборат за управување со животна средина, Изјава за вреднување на усогласеност за усогласеност на системот и процесите)</w:t>
            </w:r>
            <w:r>
              <w:rPr>
                <w:lang w:val="en-US"/>
              </w:rPr>
              <w:t>:</w:t>
            </w:r>
          </w:p>
          <w:p w14:paraId="4E99D07C">
            <w:pPr>
              <w:rPr>
                <w:lang w:val="en-US"/>
              </w:rPr>
            </w:pPr>
          </w:p>
        </w:tc>
      </w:tr>
      <w:tr w14:paraId="27D4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420F3C8"/>
        </w:tc>
        <w:tc>
          <w:tcPr>
            <w:tcW w:w="8505" w:type="dxa"/>
          </w:tcPr>
          <w:p w14:paraId="5B74DA0A">
            <w:pPr>
              <w:rPr>
                <w:lang w:val="en-US"/>
              </w:rPr>
            </w:pPr>
            <w:r>
              <w:rPr>
                <w:lang w:val="sl-SI"/>
              </w:rPr>
              <w:t xml:space="preserve">Интерна проверка </w:t>
            </w:r>
            <w:r>
              <w:t>/ компетентен интерен проверувач</w:t>
            </w:r>
            <w:r>
              <w:rPr>
                <w:lang w:val="en-US"/>
              </w:rPr>
              <w:t>:</w:t>
            </w:r>
          </w:p>
          <w:p w14:paraId="2F3538E4">
            <w:pPr>
              <w:rPr>
                <w:lang w:val="en-US"/>
              </w:rPr>
            </w:pPr>
          </w:p>
        </w:tc>
      </w:tr>
      <w:tr w14:paraId="2405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091E92E"/>
        </w:tc>
        <w:tc>
          <w:tcPr>
            <w:tcW w:w="8505" w:type="dxa"/>
          </w:tcPr>
          <w:p w14:paraId="1863A249">
            <w:r>
              <w:rPr>
                <w:lang w:val="sl-SI"/>
              </w:rPr>
              <w:t>Корективни мерки</w:t>
            </w:r>
            <w:r>
              <w:t>:</w:t>
            </w:r>
          </w:p>
          <w:p w14:paraId="38AB7070"/>
        </w:tc>
      </w:tr>
      <w:tr w14:paraId="750B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298BAA6">
            <w:pPr>
              <w:rPr>
                <w:lang w:val="en-US"/>
              </w:rPr>
            </w:pPr>
          </w:p>
        </w:tc>
        <w:tc>
          <w:tcPr>
            <w:tcW w:w="8505" w:type="dxa"/>
          </w:tcPr>
          <w:p w14:paraId="07B23D48">
            <w:pPr>
              <w:rPr>
                <w:lang w:val="sl-SI"/>
              </w:rPr>
            </w:pPr>
            <w:r>
              <w:rPr>
                <w:lang w:val="sl-SI"/>
              </w:rPr>
              <w:t>Преглед на раководство:</w:t>
            </w:r>
          </w:p>
          <w:p w14:paraId="483D5C54"/>
        </w:tc>
      </w:tr>
      <w:tr w14:paraId="14CF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5B23C90">
            <w:pPr>
              <w:rPr>
                <w:lang w:val="en-US"/>
              </w:rPr>
            </w:pPr>
          </w:p>
        </w:tc>
        <w:tc>
          <w:tcPr>
            <w:tcW w:w="8505" w:type="dxa"/>
          </w:tcPr>
          <w:p w14:paraId="7DE8C781">
            <w:r>
              <w:rPr>
                <w:lang w:val="sl-SI"/>
              </w:rPr>
              <w:t>Постојано подобрување</w:t>
            </w:r>
            <w:r>
              <w:t>:</w:t>
            </w:r>
          </w:p>
          <w:p w14:paraId="11CA313D">
            <w:pPr>
              <w:rPr>
                <w:lang w:val="sl-SI"/>
              </w:rPr>
            </w:pPr>
          </w:p>
        </w:tc>
      </w:tr>
      <w:tr w14:paraId="6C8D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BAE66B6">
            <w:pPr>
              <w:rPr>
                <w:lang w:val="en-US"/>
              </w:rPr>
            </w:pPr>
          </w:p>
        </w:tc>
        <w:tc>
          <w:tcPr>
            <w:tcW w:w="8505" w:type="dxa"/>
          </w:tcPr>
          <w:p w14:paraId="3C710F97">
            <w:r>
              <w:t>ЗАБЕЛЕШКИ:</w:t>
            </w:r>
          </w:p>
          <w:p w14:paraId="3CA6F83C"/>
        </w:tc>
      </w:tr>
    </w:tbl>
    <w:p w14:paraId="3FF182CD">
      <w:pPr>
        <w:rPr>
          <w:lang w:val="en-US"/>
        </w:rPr>
      </w:pPr>
    </w:p>
    <w:p w14:paraId="2611C216"/>
    <w:p w14:paraId="124F7C18">
      <w:pPr>
        <w:rPr>
          <w:i/>
        </w:rPr>
      </w:pPr>
      <w:r>
        <w:rPr>
          <w:i/>
        </w:rPr>
        <w:t>Ознаки</w:t>
      </w:r>
      <w:r>
        <w:rPr>
          <w:i/>
          <w:lang w:val="en-US"/>
        </w:rPr>
        <w:t xml:space="preserve">:  </w:t>
      </w:r>
      <w:r>
        <w:t>ГН – голема неусогласеност, МН – мала неусогласеност, О – опсервација</w:t>
      </w:r>
    </w:p>
    <w:p w14:paraId="0E585DBE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1BB1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6F10FE43">
            <w:r>
              <w:t>Скопје, датум:</w:t>
            </w:r>
          </w:p>
        </w:tc>
        <w:tc>
          <w:tcPr>
            <w:tcW w:w="3304" w:type="dxa"/>
          </w:tcPr>
          <w:p w14:paraId="79F7520A"/>
        </w:tc>
        <w:tc>
          <w:tcPr>
            <w:tcW w:w="3304" w:type="dxa"/>
            <w:tcBorders>
              <w:bottom w:val="single" w:color="auto" w:sz="4" w:space="0"/>
            </w:tcBorders>
          </w:tcPr>
          <w:p w14:paraId="201333A9"/>
        </w:tc>
      </w:tr>
      <w:tr w14:paraId="0F47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05BEF423"/>
        </w:tc>
        <w:tc>
          <w:tcPr>
            <w:tcW w:w="3304" w:type="dxa"/>
          </w:tcPr>
          <w:p w14:paraId="09A88AA8"/>
        </w:tc>
        <w:tc>
          <w:tcPr>
            <w:tcW w:w="3304" w:type="dxa"/>
            <w:tcBorders>
              <w:top w:val="single" w:color="auto" w:sz="4" w:space="0"/>
            </w:tcBorders>
          </w:tcPr>
          <w:p w14:paraId="21DBFB64">
            <w:r>
              <w:t>Проверувач</w:t>
            </w:r>
          </w:p>
        </w:tc>
      </w:tr>
    </w:tbl>
    <w:p w14:paraId="56493355">
      <w:pPr>
        <w:rPr>
          <w:lang w:val="en-US"/>
        </w:rPr>
      </w:pPr>
    </w:p>
    <w:p w14:paraId="48454FC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12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5"/>
      </w:tblGrid>
      <w:tr w14:paraId="607B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4550C7F5">
            <w:pPr>
              <w:jc w:val="center"/>
            </w:pPr>
            <w:r>
              <w:t>Барање од стандардот</w:t>
            </w:r>
          </w:p>
        </w:tc>
        <w:tc>
          <w:tcPr>
            <w:tcW w:w="8505" w:type="dxa"/>
            <w:shd w:val="clear" w:color="auto" w:fill="D8D8D8" w:themeFill="background1" w:themeFillShade="D9"/>
            <w:vAlign w:val="center"/>
          </w:tcPr>
          <w:p w14:paraId="4713DFBD">
            <w:pPr>
              <w:jc w:val="center"/>
            </w:pPr>
            <w:r>
              <w:t>Прашање</w:t>
            </w:r>
          </w:p>
        </w:tc>
      </w:tr>
      <w:tr w14:paraId="24AA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3BD9915D">
            <w:pPr>
              <w:pStyle w:val="2"/>
            </w:pPr>
            <w:r>
              <w:t>Систем за управување со здравје и безбедност при работа согласно барањата на стандардот МКС ISO 45001:2018</w:t>
            </w:r>
          </w:p>
        </w:tc>
      </w:tr>
      <w:tr w14:paraId="6BFC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C6B31C"/>
        </w:tc>
        <w:tc>
          <w:tcPr>
            <w:tcW w:w="8505" w:type="dxa"/>
          </w:tcPr>
          <w:p w14:paraId="16D20860">
            <w:r>
              <w:t>Контекст на организацијата:</w:t>
            </w:r>
          </w:p>
          <w:p w14:paraId="1297FE21">
            <w:pPr>
              <w:rPr>
                <w:lang w:val="en-US"/>
              </w:rPr>
            </w:pPr>
          </w:p>
        </w:tc>
      </w:tr>
      <w:tr w14:paraId="4070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BAF8D7A"/>
        </w:tc>
        <w:tc>
          <w:tcPr>
            <w:tcW w:w="8505" w:type="dxa"/>
          </w:tcPr>
          <w:p w14:paraId="2B59B3C2">
            <w:pPr>
              <w:rPr>
                <w:lang w:val="en-US"/>
              </w:rPr>
            </w:pPr>
            <w:r>
              <w:t>Лидерство и посветеност на раководството</w:t>
            </w:r>
            <w:r>
              <w:rPr>
                <w:lang w:val="en-US"/>
              </w:rPr>
              <w:t>:</w:t>
            </w:r>
          </w:p>
          <w:p w14:paraId="58D3625A">
            <w:pPr>
              <w:rPr>
                <w:lang w:val="en-US"/>
              </w:rPr>
            </w:pPr>
          </w:p>
        </w:tc>
      </w:tr>
      <w:tr w14:paraId="1750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961DFDF"/>
        </w:tc>
        <w:tc>
          <w:tcPr>
            <w:tcW w:w="8505" w:type="dxa"/>
          </w:tcPr>
          <w:p w14:paraId="63FE5804">
            <w:pPr>
              <w:rPr>
                <w:lang w:val="sl-SI"/>
              </w:rPr>
            </w:pPr>
            <w:r>
              <w:rPr>
                <w:lang w:val="sl-SI"/>
              </w:rPr>
              <w:t>Политика на системот за управување:</w:t>
            </w:r>
          </w:p>
          <w:p w14:paraId="4AD638DD"/>
        </w:tc>
      </w:tr>
      <w:tr w14:paraId="4808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CFD7D83"/>
        </w:tc>
        <w:tc>
          <w:tcPr>
            <w:tcW w:w="8505" w:type="dxa"/>
          </w:tcPr>
          <w:p w14:paraId="72EB7FC9">
            <w:r>
              <w:t>Организациони улоги, одговорности и овластувања (Одлука за Тим за управување и координатор):</w:t>
            </w:r>
          </w:p>
          <w:p w14:paraId="53C502C6">
            <w:pPr>
              <w:rPr>
                <w:lang w:val="en-US"/>
              </w:rPr>
            </w:pPr>
          </w:p>
        </w:tc>
      </w:tr>
      <w:tr w14:paraId="625B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D2FC6F2"/>
        </w:tc>
        <w:tc>
          <w:tcPr>
            <w:tcW w:w="8505" w:type="dxa"/>
          </w:tcPr>
          <w:p w14:paraId="555FBF4C">
            <w:r>
              <w:t>Консултации и учество на вработени</w:t>
            </w:r>
            <w:r>
              <w:rPr>
                <w:lang w:val="en-US"/>
              </w:rPr>
              <w:t>: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Претставник на вработени, записи од одржани состаноци со вработени)</w:t>
            </w:r>
          </w:p>
          <w:p w14:paraId="3CF01B7D">
            <w:pPr>
              <w:rPr>
                <w:b w:val="0"/>
                <w:bCs w:val="0"/>
                <w:lang w:val="sl-SI"/>
              </w:rPr>
            </w:pPr>
          </w:p>
        </w:tc>
      </w:tr>
      <w:tr w14:paraId="7B24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0AC5933"/>
        </w:tc>
        <w:tc>
          <w:tcPr>
            <w:tcW w:w="8505" w:type="dxa"/>
          </w:tcPr>
          <w:p w14:paraId="4408EA57">
            <w:r>
              <w:t>Опасности и штетности врз здравјето и безбедноста при работа (Проценки на ризик на работни места, Изјава од работодавач):</w:t>
            </w:r>
          </w:p>
          <w:p w14:paraId="7EE6E678">
            <w:pPr>
              <w:rPr>
                <w:b w:val="0"/>
                <w:bCs w:val="0"/>
                <w:lang w:val="en-US"/>
              </w:rPr>
            </w:pPr>
          </w:p>
        </w:tc>
      </w:tr>
      <w:tr w14:paraId="54D9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5D6EFCC"/>
        </w:tc>
        <w:tc>
          <w:tcPr>
            <w:tcW w:w="8505" w:type="dxa"/>
          </w:tcPr>
          <w:p w14:paraId="54E96A0F">
            <w:r>
              <w:t>Исполнување на законските барања:</w:t>
            </w:r>
          </w:p>
          <w:p w14:paraId="31BA5846">
            <w:pPr>
              <w:rPr>
                <w:b w:val="0"/>
                <w:bCs w:val="0"/>
              </w:rPr>
            </w:pPr>
          </w:p>
        </w:tc>
      </w:tr>
      <w:tr w14:paraId="1FB8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46E3201"/>
        </w:tc>
        <w:tc>
          <w:tcPr>
            <w:tcW w:w="8505" w:type="dxa"/>
          </w:tcPr>
          <w:p w14:paraId="4736963E">
            <w:r>
              <w:rPr>
                <w:lang w:val="sl-SI"/>
              </w:rPr>
              <w:t>Цели</w:t>
            </w:r>
            <w:r>
              <w:t xml:space="preserve"> и програми за здравје и безбедност при работа:</w:t>
            </w:r>
          </w:p>
          <w:p w14:paraId="328126C2">
            <w:pPr>
              <w:rPr>
                <w:b w:val="0"/>
                <w:bCs w:val="0"/>
              </w:rPr>
            </w:pPr>
          </w:p>
        </w:tc>
      </w:tr>
      <w:tr w14:paraId="24EB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4651754"/>
        </w:tc>
        <w:tc>
          <w:tcPr>
            <w:tcW w:w="8505" w:type="dxa"/>
          </w:tcPr>
          <w:p w14:paraId="28D3A752">
            <w:pPr>
              <w:rPr>
                <w:b w:val="0"/>
                <w:bCs w:val="0"/>
              </w:rPr>
            </w:pPr>
            <w:r>
              <w:t>Ресурси:</w:t>
            </w:r>
          </w:p>
          <w:p w14:paraId="253CB4A7">
            <w:pPr>
              <w:rPr>
                <w:b w:val="0"/>
                <w:bCs w:val="0"/>
                <w:lang w:val="sl-SI"/>
              </w:rPr>
            </w:pPr>
          </w:p>
        </w:tc>
      </w:tr>
      <w:tr w14:paraId="0B39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9D9ADC"/>
        </w:tc>
        <w:tc>
          <w:tcPr>
            <w:tcW w:w="8505" w:type="dxa"/>
          </w:tcPr>
          <w:p w14:paraId="3E1B5B75">
            <w:r>
              <w:t>Компентентност, оспособување и посветеност на вработените:</w:t>
            </w:r>
          </w:p>
          <w:p w14:paraId="774ACA20">
            <w:pPr>
              <w:rPr>
                <w:b w:val="0"/>
                <w:bCs w:val="0"/>
              </w:rPr>
            </w:pPr>
          </w:p>
        </w:tc>
      </w:tr>
      <w:tr w14:paraId="45A0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FEAC4E4"/>
        </w:tc>
        <w:tc>
          <w:tcPr>
            <w:tcW w:w="8505" w:type="dxa"/>
          </w:tcPr>
          <w:p w14:paraId="58B6FF18">
            <w:r>
              <w:t>Свест:</w:t>
            </w:r>
          </w:p>
          <w:p w14:paraId="7C904481">
            <w:pPr>
              <w:rPr>
                <w:b w:val="0"/>
                <w:bCs w:val="0"/>
              </w:rPr>
            </w:pPr>
          </w:p>
        </w:tc>
      </w:tr>
      <w:tr w14:paraId="0B74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DCE0D4D"/>
        </w:tc>
        <w:tc>
          <w:tcPr>
            <w:tcW w:w="8505" w:type="dxa"/>
          </w:tcPr>
          <w:p w14:paraId="5DB78BC3">
            <w:r>
              <w:t>Комуникација (надворешна со заинтересирани страни и внатрешна комуникација):</w:t>
            </w:r>
          </w:p>
          <w:p w14:paraId="44E11F22">
            <w:pPr>
              <w:jc w:val="both"/>
              <w:rPr>
                <w:b w:val="0"/>
                <w:bCs w:val="0"/>
              </w:rPr>
            </w:pPr>
          </w:p>
        </w:tc>
      </w:tr>
      <w:tr w14:paraId="307C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DE5F8C"/>
        </w:tc>
        <w:tc>
          <w:tcPr>
            <w:tcW w:w="8505" w:type="dxa"/>
          </w:tcPr>
          <w:p w14:paraId="5199CD6E">
            <w:pPr>
              <w:rPr>
                <w:lang w:val="en-US"/>
              </w:rPr>
            </w:pPr>
            <w:r>
              <w:t>Владеење со документирани информации (идентификација, ажурирање,  дистрибуција, пристап, управување со измени, архивирање)</w:t>
            </w:r>
            <w:r>
              <w:rPr>
                <w:lang w:val="en-US"/>
              </w:rPr>
              <w:t>:</w:t>
            </w:r>
          </w:p>
          <w:p w14:paraId="46045D51">
            <w:pPr>
              <w:jc w:val="both"/>
              <w:rPr>
                <w:b w:val="0"/>
                <w:bCs w:val="0"/>
              </w:rPr>
            </w:pPr>
          </w:p>
        </w:tc>
      </w:tr>
      <w:tr w14:paraId="4F4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48BEB36"/>
        </w:tc>
        <w:tc>
          <w:tcPr>
            <w:tcW w:w="8505" w:type="dxa"/>
          </w:tcPr>
          <w:p w14:paraId="41254FCE">
            <w:r>
              <w:t>Планирање и контрола во работењето (намалување / елиминирање на опасности и штетности, договори со подизведувачи за безбедност при работа и влијанија од взаемни активности, ЛЗО и реверси):</w:t>
            </w:r>
          </w:p>
          <w:p w14:paraId="56CB45F7">
            <w:pPr>
              <w:rPr>
                <w:b w:val="0"/>
                <w:bCs w:val="0"/>
                <w:lang w:val="en-US"/>
              </w:rPr>
            </w:pPr>
          </w:p>
        </w:tc>
      </w:tr>
      <w:tr w14:paraId="61F2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AC8ADBF"/>
        </w:tc>
        <w:tc>
          <w:tcPr>
            <w:tcW w:w="8505" w:type="dxa"/>
          </w:tcPr>
          <w:p w14:paraId="2202A336">
            <w:pPr>
              <w:jc w:val="both"/>
            </w:pPr>
            <w:r>
              <w:t>Подготвеност за реагирање и одговор во вонредни ситуации (планови за вонредни состојби, шеми за евакуација, вежби за евакуација, упатства за ракување со ППА, сервисирање на ППА, обуки за ракување со ППА и Прва Помош):</w:t>
            </w:r>
          </w:p>
          <w:p w14:paraId="1FBE4890">
            <w:pPr>
              <w:jc w:val="both"/>
              <w:rPr>
                <w:b w:val="0"/>
                <w:bCs w:val="0"/>
                <w:lang w:val="en-US"/>
              </w:rPr>
            </w:pPr>
          </w:p>
        </w:tc>
      </w:tr>
      <w:tr w14:paraId="4B76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E7CE90F"/>
        </w:tc>
        <w:tc>
          <w:tcPr>
            <w:tcW w:w="8505" w:type="dxa"/>
          </w:tcPr>
          <w:p w14:paraId="6CE97A72">
            <w:pPr>
              <w:jc w:val="both"/>
            </w:pPr>
            <w:r>
              <w:t>Следење, мерење, анализа и вреднување (мерења на микроклиматски услови, заштитно и громобранско заземјување, систематски прегледи, Изјава за вреднување за усогласеност на системот и процесите):</w:t>
            </w:r>
          </w:p>
          <w:p w14:paraId="5905B825">
            <w:pPr>
              <w:jc w:val="both"/>
              <w:rPr>
                <w:lang w:val="en-US"/>
              </w:rPr>
            </w:pPr>
          </w:p>
        </w:tc>
      </w:tr>
      <w:tr w14:paraId="06C9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FDBD6AD"/>
        </w:tc>
        <w:tc>
          <w:tcPr>
            <w:tcW w:w="8505" w:type="dxa"/>
          </w:tcPr>
          <w:p w14:paraId="2B12E257">
            <w:pPr>
              <w:rPr>
                <w:lang w:val="en-US"/>
              </w:rPr>
            </w:pPr>
            <w:r>
              <w:t>Истражување на инциденти и повреди</w:t>
            </w:r>
            <w:r>
              <w:rPr>
                <w:lang w:val="en-US"/>
              </w:rPr>
              <w:t>:</w:t>
            </w:r>
          </w:p>
          <w:p w14:paraId="5FC795C5">
            <w:pPr>
              <w:rPr>
                <w:b w:val="0"/>
                <w:bCs w:val="0"/>
                <w:lang w:val="en-US"/>
              </w:rPr>
            </w:pPr>
          </w:p>
        </w:tc>
      </w:tr>
      <w:tr w14:paraId="26C4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9F46AF1"/>
        </w:tc>
        <w:tc>
          <w:tcPr>
            <w:tcW w:w="8505" w:type="dxa"/>
          </w:tcPr>
          <w:p w14:paraId="08751466">
            <w:pPr>
              <w:rPr>
                <w:lang w:val="en-US"/>
              </w:rPr>
            </w:pPr>
            <w:r>
              <w:rPr>
                <w:lang w:val="sl-SI"/>
              </w:rPr>
              <w:t xml:space="preserve">Интерна проверка </w:t>
            </w:r>
            <w:r>
              <w:t>/ компетентен интерен проверувач</w:t>
            </w:r>
            <w:r>
              <w:rPr>
                <w:lang w:val="en-US"/>
              </w:rPr>
              <w:t>:</w:t>
            </w:r>
          </w:p>
          <w:p w14:paraId="50B765AF">
            <w:pPr>
              <w:rPr>
                <w:b w:val="0"/>
                <w:bCs w:val="0"/>
                <w:lang w:val="en-US"/>
              </w:rPr>
            </w:pPr>
          </w:p>
        </w:tc>
      </w:tr>
      <w:tr w14:paraId="453D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E2BA11D"/>
        </w:tc>
        <w:tc>
          <w:tcPr>
            <w:tcW w:w="8505" w:type="dxa"/>
          </w:tcPr>
          <w:p w14:paraId="48A8055D">
            <w:r>
              <w:rPr>
                <w:lang w:val="sl-SI"/>
              </w:rPr>
              <w:t>Корективни мерки</w:t>
            </w:r>
            <w:r>
              <w:t>:</w:t>
            </w:r>
          </w:p>
          <w:p w14:paraId="4AD0BF09">
            <w:pPr>
              <w:rPr>
                <w:b w:val="0"/>
                <w:bCs w:val="0"/>
              </w:rPr>
            </w:pPr>
          </w:p>
        </w:tc>
      </w:tr>
      <w:tr w14:paraId="1BB8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632AA12"/>
        </w:tc>
        <w:tc>
          <w:tcPr>
            <w:tcW w:w="8505" w:type="dxa"/>
          </w:tcPr>
          <w:p w14:paraId="6D3F5265">
            <w:pPr>
              <w:rPr>
                <w:lang w:val="sl-SI"/>
              </w:rPr>
            </w:pPr>
            <w:r>
              <w:rPr>
                <w:lang w:val="sl-SI"/>
              </w:rPr>
              <w:t>Преглед на раководство:</w:t>
            </w:r>
          </w:p>
          <w:p w14:paraId="20B35B0B">
            <w:pPr>
              <w:rPr>
                <w:b w:val="0"/>
                <w:bCs w:val="0"/>
                <w:lang w:val="sl-SI"/>
              </w:rPr>
            </w:pPr>
          </w:p>
        </w:tc>
      </w:tr>
      <w:tr w14:paraId="067D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0FA3ED0"/>
        </w:tc>
        <w:tc>
          <w:tcPr>
            <w:tcW w:w="8505" w:type="dxa"/>
          </w:tcPr>
          <w:p w14:paraId="73FBCEDF">
            <w:pPr>
              <w:rPr>
                <w:lang w:val="en-US"/>
              </w:rPr>
            </w:pPr>
            <w:r>
              <w:t>Постојано подобрување</w:t>
            </w:r>
            <w:r>
              <w:rPr>
                <w:lang w:val="en-US"/>
              </w:rPr>
              <w:t>:</w:t>
            </w:r>
          </w:p>
          <w:p w14:paraId="5B487A04">
            <w:pPr>
              <w:rPr>
                <w:b w:val="0"/>
                <w:bCs w:val="0"/>
                <w:lang w:val="en-US"/>
              </w:rPr>
            </w:pPr>
          </w:p>
        </w:tc>
      </w:tr>
      <w:tr w14:paraId="13BE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7AAEF34"/>
        </w:tc>
        <w:tc>
          <w:tcPr>
            <w:tcW w:w="8505" w:type="dxa"/>
          </w:tcPr>
          <w:p w14:paraId="22F44B04">
            <w:r>
              <w:t>ЗАБЕЛЕШКИ:</w:t>
            </w:r>
          </w:p>
          <w:p w14:paraId="13A74994">
            <w:pPr>
              <w:rPr>
                <w:b w:val="0"/>
                <w:bCs w:val="0"/>
                <w:lang w:val="en-US"/>
              </w:rPr>
            </w:pPr>
          </w:p>
        </w:tc>
      </w:tr>
    </w:tbl>
    <w:p w14:paraId="4B529EF3"/>
    <w:p w14:paraId="3BA8A52C">
      <w:pPr>
        <w:rPr>
          <w:i/>
        </w:rPr>
      </w:pPr>
      <w:r>
        <w:rPr>
          <w:i/>
        </w:rPr>
        <w:t>Ознаки</w:t>
      </w:r>
      <w:r>
        <w:rPr>
          <w:i/>
          <w:lang w:val="en-US"/>
        </w:rPr>
        <w:t xml:space="preserve">:  </w:t>
      </w:r>
      <w:r>
        <w:t>ГН – голема неусогласеност, МН – мала неусогласеност, О – опсервација</w:t>
      </w:r>
    </w:p>
    <w:p w14:paraId="4FD55B1B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09763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04" w:type="dxa"/>
          </w:tcPr>
          <w:p w14:paraId="4714F7A5">
            <w:r>
              <w:t>Скопје, датум:</w:t>
            </w:r>
          </w:p>
        </w:tc>
        <w:tc>
          <w:tcPr>
            <w:tcW w:w="3304" w:type="dxa"/>
          </w:tcPr>
          <w:p w14:paraId="0A6D50CF"/>
        </w:tc>
        <w:tc>
          <w:tcPr>
            <w:tcW w:w="3304" w:type="dxa"/>
            <w:tcBorders>
              <w:bottom w:val="single" w:color="auto" w:sz="4" w:space="0"/>
            </w:tcBorders>
          </w:tcPr>
          <w:p w14:paraId="1EC1BCD7"/>
        </w:tc>
      </w:tr>
      <w:tr w14:paraId="499A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17C07AFC"/>
        </w:tc>
        <w:tc>
          <w:tcPr>
            <w:tcW w:w="3304" w:type="dxa"/>
          </w:tcPr>
          <w:p w14:paraId="4E3ACEF1"/>
        </w:tc>
        <w:tc>
          <w:tcPr>
            <w:tcW w:w="3304" w:type="dxa"/>
            <w:tcBorders>
              <w:top w:val="single" w:color="auto" w:sz="4" w:space="0"/>
            </w:tcBorders>
          </w:tcPr>
          <w:p w14:paraId="4121D2A3">
            <w:pPr>
              <w:jc w:val="center"/>
            </w:pPr>
            <w:r>
              <w:t>Проверувач</w:t>
            </w:r>
          </w:p>
        </w:tc>
      </w:tr>
    </w:tbl>
    <w:p w14:paraId="46DE98BC">
      <w:pPr>
        <w:rPr>
          <w:lang w:val="en-US"/>
        </w:rPr>
      </w:pPr>
    </w:p>
    <w:p w14:paraId="70FD6D23">
      <w:pPr>
        <w:rPr>
          <w:lang w:val="en-US"/>
        </w:rPr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</w:pPr>
    <w:r>
      <w:rPr>
        <w:color w:val="C1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  <w:p w14:paraId="2377A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>|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  <w:p w14:paraId="2377AE26"/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Датум на примена: 1</w:t>
    </w:r>
    <w:r>
      <w:rPr>
        <w:lang w:val="en-US"/>
      </w:rPr>
      <w:t>3</w:t>
    </w:r>
    <w:r>
      <w:t>.</w:t>
    </w:r>
    <w:r>
      <w:rPr>
        <w:lang w:val="en-US"/>
      </w:rPr>
      <w:t>12</w:t>
    </w:r>
    <w:r>
      <w:t>.</w:t>
    </w:r>
    <w:r>
      <w:rPr>
        <w:lang w:val="en-US"/>
      </w:rPr>
      <w:t xml:space="preserve">2021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Рев. </w:t>
    </w:r>
    <w:r>
      <w:rPr>
        <w:lang w:val="en-US"/>
      </w:rPr>
      <w:t xml:space="preserve">6 </w:t>
    </w:r>
    <w:r>
      <w:rPr>
        <w:color w:val="C10000"/>
        <w:lang w:val="en-US"/>
      </w:rPr>
      <w:t xml:space="preserve">|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 xml:space="preserve">9.4-5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Листа со прашања за проверката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34894"/>
    <w:rsid w:val="0004106E"/>
    <w:rsid w:val="000449A7"/>
    <w:rsid w:val="00067F4F"/>
    <w:rsid w:val="000862A8"/>
    <w:rsid w:val="000B75DB"/>
    <w:rsid w:val="000C565C"/>
    <w:rsid w:val="000C5E1F"/>
    <w:rsid w:val="000E51DA"/>
    <w:rsid w:val="00101E08"/>
    <w:rsid w:val="00104D3B"/>
    <w:rsid w:val="00135351"/>
    <w:rsid w:val="0013611C"/>
    <w:rsid w:val="00143383"/>
    <w:rsid w:val="001573D4"/>
    <w:rsid w:val="0016359D"/>
    <w:rsid w:val="00164C81"/>
    <w:rsid w:val="001673E8"/>
    <w:rsid w:val="00191AFE"/>
    <w:rsid w:val="001B1EC2"/>
    <w:rsid w:val="001B2714"/>
    <w:rsid w:val="001E193A"/>
    <w:rsid w:val="001F58D7"/>
    <w:rsid w:val="00206CB1"/>
    <w:rsid w:val="0022454A"/>
    <w:rsid w:val="00247191"/>
    <w:rsid w:val="002730EC"/>
    <w:rsid w:val="002768B5"/>
    <w:rsid w:val="0028204F"/>
    <w:rsid w:val="0028543C"/>
    <w:rsid w:val="002910C6"/>
    <w:rsid w:val="002A6AFC"/>
    <w:rsid w:val="002C49FC"/>
    <w:rsid w:val="002F2D78"/>
    <w:rsid w:val="002F416D"/>
    <w:rsid w:val="00307369"/>
    <w:rsid w:val="003146B3"/>
    <w:rsid w:val="003855FC"/>
    <w:rsid w:val="003860FB"/>
    <w:rsid w:val="003972E1"/>
    <w:rsid w:val="003A151D"/>
    <w:rsid w:val="003A1BFA"/>
    <w:rsid w:val="003A347F"/>
    <w:rsid w:val="003B0F02"/>
    <w:rsid w:val="003B4EE3"/>
    <w:rsid w:val="003B58A0"/>
    <w:rsid w:val="003C1AFC"/>
    <w:rsid w:val="003E50FA"/>
    <w:rsid w:val="00403BF4"/>
    <w:rsid w:val="00416814"/>
    <w:rsid w:val="00443F2D"/>
    <w:rsid w:val="00464C3C"/>
    <w:rsid w:val="00465A0D"/>
    <w:rsid w:val="00494A28"/>
    <w:rsid w:val="004951DE"/>
    <w:rsid w:val="004A2AC7"/>
    <w:rsid w:val="004B3601"/>
    <w:rsid w:val="004B390A"/>
    <w:rsid w:val="004B429E"/>
    <w:rsid w:val="004C2264"/>
    <w:rsid w:val="004C5540"/>
    <w:rsid w:val="004C5C2D"/>
    <w:rsid w:val="004C68A0"/>
    <w:rsid w:val="004E0087"/>
    <w:rsid w:val="004E0889"/>
    <w:rsid w:val="00505CD7"/>
    <w:rsid w:val="00512CFA"/>
    <w:rsid w:val="00542139"/>
    <w:rsid w:val="00542A81"/>
    <w:rsid w:val="00547A36"/>
    <w:rsid w:val="00566F44"/>
    <w:rsid w:val="005A0E15"/>
    <w:rsid w:val="005A59C7"/>
    <w:rsid w:val="005C3070"/>
    <w:rsid w:val="005D31D5"/>
    <w:rsid w:val="00611005"/>
    <w:rsid w:val="006175A0"/>
    <w:rsid w:val="00626B4A"/>
    <w:rsid w:val="00630FEF"/>
    <w:rsid w:val="0066291D"/>
    <w:rsid w:val="00675893"/>
    <w:rsid w:val="00676701"/>
    <w:rsid w:val="00697DAA"/>
    <w:rsid w:val="006C2FFE"/>
    <w:rsid w:val="006C371E"/>
    <w:rsid w:val="006C5E9D"/>
    <w:rsid w:val="006E7264"/>
    <w:rsid w:val="00743BCF"/>
    <w:rsid w:val="007458CD"/>
    <w:rsid w:val="007501A1"/>
    <w:rsid w:val="00750EB5"/>
    <w:rsid w:val="00752A34"/>
    <w:rsid w:val="00760B33"/>
    <w:rsid w:val="007615CD"/>
    <w:rsid w:val="007677A6"/>
    <w:rsid w:val="00794F5D"/>
    <w:rsid w:val="007973B2"/>
    <w:rsid w:val="007D2341"/>
    <w:rsid w:val="007F4679"/>
    <w:rsid w:val="00810D00"/>
    <w:rsid w:val="0081386E"/>
    <w:rsid w:val="008159C9"/>
    <w:rsid w:val="00833E64"/>
    <w:rsid w:val="00860013"/>
    <w:rsid w:val="008727A1"/>
    <w:rsid w:val="00882E47"/>
    <w:rsid w:val="0089245B"/>
    <w:rsid w:val="008972F3"/>
    <w:rsid w:val="008A1038"/>
    <w:rsid w:val="008B3699"/>
    <w:rsid w:val="008C4BA6"/>
    <w:rsid w:val="008D1DB5"/>
    <w:rsid w:val="008D36F2"/>
    <w:rsid w:val="008D7749"/>
    <w:rsid w:val="008E344F"/>
    <w:rsid w:val="009014AF"/>
    <w:rsid w:val="00903F7B"/>
    <w:rsid w:val="00915D6E"/>
    <w:rsid w:val="00966F5A"/>
    <w:rsid w:val="009A2047"/>
    <w:rsid w:val="009B34B6"/>
    <w:rsid w:val="009B3ADF"/>
    <w:rsid w:val="009F3201"/>
    <w:rsid w:val="009F69E8"/>
    <w:rsid w:val="00A13FCB"/>
    <w:rsid w:val="00A33DC6"/>
    <w:rsid w:val="00A4500B"/>
    <w:rsid w:val="00A4516C"/>
    <w:rsid w:val="00A664BC"/>
    <w:rsid w:val="00A815C9"/>
    <w:rsid w:val="00A832FC"/>
    <w:rsid w:val="00A929A3"/>
    <w:rsid w:val="00A96643"/>
    <w:rsid w:val="00AA4170"/>
    <w:rsid w:val="00AA5D87"/>
    <w:rsid w:val="00AB20F0"/>
    <w:rsid w:val="00AB3D7C"/>
    <w:rsid w:val="00AC093F"/>
    <w:rsid w:val="00AC278F"/>
    <w:rsid w:val="00AD1DA2"/>
    <w:rsid w:val="00AD443F"/>
    <w:rsid w:val="00AF7E68"/>
    <w:rsid w:val="00B04B70"/>
    <w:rsid w:val="00B05515"/>
    <w:rsid w:val="00B21F42"/>
    <w:rsid w:val="00B36B88"/>
    <w:rsid w:val="00B36EF5"/>
    <w:rsid w:val="00B42254"/>
    <w:rsid w:val="00B44319"/>
    <w:rsid w:val="00B81A63"/>
    <w:rsid w:val="00BB58E8"/>
    <w:rsid w:val="00BB767B"/>
    <w:rsid w:val="00BC501B"/>
    <w:rsid w:val="00BC7F86"/>
    <w:rsid w:val="00BF53F2"/>
    <w:rsid w:val="00C13322"/>
    <w:rsid w:val="00C15BCF"/>
    <w:rsid w:val="00C2661C"/>
    <w:rsid w:val="00C316E1"/>
    <w:rsid w:val="00C41F1F"/>
    <w:rsid w:val="00C459B1"/>
    <w:rsid w:val="00C66A9C"/>
    <w:rsid w:val="00C80317"/>
    <w:rsid w:val="00C93403"/>
    <w:rsid w:val="00CB53A0"/>
    <w:rsid w:val="00CE7118"/>
    <w:rsid w:val="00D01F74"/>
    <w:rsid w:val="00D02308"/>
    <w:rsid w:val="00D04311"/>
    <w:rsid w:val="00D045E2"/>
    <w:rsid w:val="00D11C88"/>
    <w:rsid w:val="00D1774E"/>
    <w:rsid w:val="00D2416D"/>
    <w:rsid w:val="00D27E7D"/>
    <w:rsid w:val="00D403F4"/>
    <w:rsid w:val="00D53131"/>
    <w:rsid w:val="00D54F65"/>
    <w:rsid w:val="00D55EA8"/>
    <w:rsid w:val="00D82FB6"/>
    <w:rsid w:val="00D95C88"/>
    <w:rsid w:val="00DA4CBC"/>
    <w:rsid w:val="00DA7969"/>
    <w:rsid w:val="00DC43CF"/>
    <w:rsid w:val="00DE0572"/>
    <w:rsid w:val="00DE7062"/>
    <w:rsid w:val="00E0167D"/>
    <w:rsid w:val="00E13308"/>
    <w:rsid w:val="00E34ADE"/>
    <w:rsid w:val="00E82E06"/>
    <w:rsid w:val="00E85E3E"/>
    <w:rsid w:val="00EA0D1F"/>
    <w:rsid w:val="00EC55BE"/>
    <w:rsid w:val="00EC75E8"/>
    <w:rsid w:val="00ED1957"/>
    <w:rsid w:val="00ED5663"/>
    <w:rsid w:val="00EF1FBD"/>
    <w:rsid w:val="00F045E2"/>
    <w:rsid w:val="00F06C1E"/>
    <w:rsid w:val="00F5522E"/>
    <w:rsid w:val="00F5702D"/>
    <w:rsid w:val="00F60D3E"/>
    <w:rsid w:val="00F62FDD"/>
    <w:rsid w:val="00F765C3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8954C3F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25"/>
      </w:tabs>
      <w:spacing w:before="100" w:after="100"/>
    </w:pPr>
    <w:rPr>
      <w:rFonts w:cs="Arial" w:asciiTheme="minorHAnsi" w:hAnsiTheme="minorHAnsi" w:eastAsiaTheme="minorEastAsia"/>
      <w:b/>
      <w:bCs/>
      <w:szCs w:val="22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tabs>
        <w:tab w:val="left" w:pos="851"/>
      </w:tabs>
      <w:spacing w:before="120" w:after="120"/>
      <w:jc w:val="center"/>
      <w:outlineLvl w:val="0"/>
    </w:pPr>
    <w:rPr>
      <w:rFonts w:cs="Times New Roman (Headings CS)" w:asciiTheme="majorHAnsi" w:hAnsiTheme="majorHAnsi" w:eastAsiaTheme="majorEastAsia"/>
      <w:bCs w:val="0"/>
      <w:caps/>
      <w:sz w:val="24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 w:val="0"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 w:val="0"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 w:val="0"/>
      <w:sz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sz w:val="24"/>
      <w:szCs w:val="28"/>
      <w:lang w:val="mk-MK" w:eastAsia="en-US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1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  <w:style w:type="paragraph" w:customStyle="1" w:styleId="37">
    <w:name w:val="TOC Heading"/>
    <w:basedOn w:val="2"/>
    <w:next w:val="1"/>
    <w:unhideWhenUsed/>
    <w:qFormat/>
    <w:uiPriority w:val="39"/>
    <w:pPr>
      <w:tabs>
        <w:tab w:val="clear" w:pos="851"/>
      </w:tabs>
      <w:spacing w:after="0" w:line="259" w:lineRule="auto"/>
      <w:outlineLvl w:val="9"/>
    </w:pPr>
    <w:rPr>
      <w:rFonts w:cstheme="majorBidi"/>
      <w:b w:val="0"/>
      <w:caps w:val="0"/>
      <w:color w:val="2F5597" w:themeColor="accent1" w:themeShade="BF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830</Words>
  <Characters>4737</Characters>
  <Lines>39</Lines>
  <Paragraphs>11</Paragraphs>
  <TotalTime>316</TotalTime>
  <ScaleCrop>false</ScaleCrop>
  <LinksUpToDate>false</LinksUpToDate>
  <CharactersWithSpaces>5556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2024-09-18T15:01:26Z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75F73DE4893F454AA18E97B592974960_12</vt:lpwstr>
  </property>
</Properties>
</file>